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6B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第二章  固体、 液体和气体</w:t>
      </w:r>
    </w:p>
    <w:p w14:paraId="722A5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专题2  双气缸问题</w:t>
      </w:r>
    </w:p>
    <w:p w14:paraId="7C26D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气缸活塞类模型</w:t>
      </w:r>
    </w:p>
    <w:p w14:paraId="02E95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1.解题的一般思路</w:t>
      </w:r>
    </w:p>
    <w:p w14:paraId="1D12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（1）确定研究对象</w:t>
      </w:r>
    </w:p>
    <w:p w14:paraId="3BE25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研究对象分两类：</w:t>
      </w:r>
    </w:p>
    <w:p w14:paraId="75976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①热学研究对象（一定质量的理想气体）；</w:t>
      </w:r>
    </w:p>
    <w:p w14:paraId="28E3B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②力学研究对象（气缸、活塞或某系统）。</w:t>
      </w:r>
    </w:p>
    <w:p w14:paraId="413C1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（2）分析物理过程</w:t>
      </w:r>
    </w:p>
    <w:p w14:paraId="63398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①对热学研究对象分析清楚初、末状态及状态变化过程，根据气体实验定律列方程；</w:t>
      </w:r>
    </w:p>
    <w:p w14:paraId="7175B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②对力学研究对象要正确地进行受力分析，根据力学规律列方程。</w:t>
      </w:r>
    </w:p>
    <w:p w14:paraId="2840D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（3）挖掘题目的隐含条件，如几何关系等，列出辅助方程。</w:t>
      </w:r>
    </w:p>
    <w:p w14:paraId="5FEF0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（4）联立多个方程求解。对求解的结果注意检验它们的合理性。</w:t>
      </w:r>
    </w:p>
    <w:p w14:paraId="51BBE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两个或多个气缸封闭着几部分气体，并且气缸之间相互关联的问题，解答时应分别研究各部分气体，找出它们各自遵循的规律，并写出相应的方程，还要写出各部分气体之间压强或体积的关系式，最后联立求解。</w:t>
      </w:r>
    </w:p>
    <w:p w14:paraId="37B5F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080CC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5903"/>
      </w:tblGrid>
      <w:tr w14:paraId="246A0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435C3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drawing>
                <wp:inline distT="0" distB="0" distL="114300" distR="114300">
                  <wp:extent cx="1197610" cy="948690"/>
                  <wp:effectExtent l="0" t="0" r="2540" b="3810"/>
                  <wp:docPr id="20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610" cy="94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30A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lang w:val="en-US" w:eastAsia="zh-CN"/>
              </w:rPr>
              <w:t>单活塞双气缸</w:t>
            </w:r>
          </w:p>
        </w:tc>
        <w:tc>
          <w:tcPr>
            <w:tcW w:w="5903" w:type="dxa"/>
            <w:vAlign w:val="center"/>
          </w:tcPr>
          <w:p w14:paraId="4532B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升温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4"/>
                <w:vertAlign w:val="baseline"/>
                <w:lang w:val="en-US" w:eastAsia="zh-CN"/>
              </w:rPr>
              <w:object>
                <v:shape id="_x0000_i1025" o:spt="75" type="#_x0000_t75" style="height:13pt;width:19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，活塞向哪个方向移动？</w:t>
            </w:r>
          </w:p>
          <w:p w14:paraId="6CEA9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平衡时，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vertAlign w:val="baseline"/>
                <w:lang w:val="en-US" w:eastAsia="zh-CN"/>
              </w:rPr>
              <w:t>。假设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vertAlign w:val="baseline"/>
                <w:lang w:val="en-US" w:eastAsia="zh-CN"/>
              </w:rPr>
              <w:t>不变，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24"/>
                <w:vertAlign w:val="baseline"/>
                <w:lang w:val="en-US" w:eastAsia="zh-CN"/>
              </w:rPr>
              <w:object>
                <v:shape id="_x0000_i1026" o:spt="75" type="#_x0000_t75" style="height:31pt;width:42.9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27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24"/>
                <w:vertAlign w:val="baseline"/>
                <w:lang w:val="en-US" w:eastAsia="zh-CN"/>
              </w:rPr>
              <w:object>
                <v:shape id="_x0000_i1028" o:spt="75" type="#_x0000_t75" style="height:31pt;width:62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，</w:t>
            </w:r>
          </w:p>
          <w:p w14:paraId="354EA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可知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。由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10"/>
                <w:vertAlign w:val="baseline"/>
                <w:lang w:val="en-US" w:eastAsia="zh-CN"/>
              </w:rPr>
              <w:object>
                <v:shape id="_x0000_i1029" o:spt="75" type="#_x0000_t75" style="height:17pt;width:54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，得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10"/>
                <w:vertAlign w:val="baseline"/>
                <w:lang w:val="en-US" w:eastAsia="zh-CN"/>
              </w:rPr>
              <w:object>
                <v:shape id="_x0000_i1030" o:spt="75" type="#_x0000_t75" style="height:17pt;width:22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10"/>
                <w:vertAlign w:val="baseline"/>
                <w:lang w:val="en-US" w:eastAsia="zh-CN"/>
              </w:rPr>
              <w:object>
                <v:shape id="_x0000_i1031" o:spt="75" type="#_x0000_t75" style="height:17pt;width:22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1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10"/>
                <w:vertAlign w:val="baseline"/>
                <w:lang w:val="en-US" w:eastAsia="zh-CN"/>
              </w:rPr>
              <w:object>
                <v:shape id="_x0000_i1032" o:spt="75" type="#_x0000_t75" style="height:16pt;width:58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33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10"/>
                <w:vertAlign w:val="baseline"/>
                <w:lang w:val="en-US" w:eastAsia="zh-CN"/>
              </w:rPr>
              <w:object>
                <v:shape id="_x0000_i1034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KSEE3" ShapeID="_x0000_i1034" DrawAspect="Content" ObjectID="_1468075734" r:id="rId2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10"/>
                <w:vertAlign w:val="baseline"/>
                <w:lang w:val="en-US" w:eastAsia="zh-CN"/>
              </w:rPr>
              <w:object>
                <v:shape id="_x0000_i1035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KSEE3" ShapeID="_x0000_i1035" DrawAspect="Content" ObjectID="_1468075735" r:id="rId2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36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6" DrawAspect="Content" ObjectID="_1468075736" r:id="rId2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活塞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移动</w:t>
            </w:r>
          </w:p>
        </w:tc>
      </w:tr>
      <w:tr w14:paraId="75775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233B7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drawing>
                <wp:inline distT="0" distB="0" distL="114300" distR="114300">
                  <wp:extent cx="1218565" cy="870585"/>
                  <wp:effectExtent l="0" t="0" r="635" b="5715"/>
                  <wp:docPr id="21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8565" cy="87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AC1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双活塞</w:t>
            </w:r>
          </w:p>
        </w:tc>
        <w:tc>
          <w:tcPr>
            <w:tcW w:w="5903" w:type="dxa"/>
            <w:vAlign w:val="center"/>
          </w:tcPr>
          <w:p w14:paraId="19E2B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u w:val="single"/>
                <w:vertAlign w:val="baseline"/>
                <w:lang w:val="en-US" w:eastAsia="zh-CN"/>
              </w:rPr>
              <w:t xml:space="preserve">=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时，活塞平衡</w:t>
            </w:r>
          </w:p>
          <w:p w14:paraId="7C748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升温时：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37" o:spt="75" type="#_x0000_t75" style="height:16pt;width:11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7" DrawAspect="Content" ObjectID="_1468075737" r:id="rId2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38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38" r:id="rId3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39" o:spt="75" type="#_x0000_t75" style="height:16pt;width:11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9" DrawAspect="Content" ObjectID="_1468075739" r:id="rId3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40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0" DrawAspect="Content" ObjectID="_1468075740" r:id="rId3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等压变化，活塞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移动</w:t>
            </w:r>
          </w:p>
          <w:p w14:paraId="4919B0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卡住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41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1" DrawAspect="Content" ObjectID="_1468075741" r:id="rId3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气体做等容变化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42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2" DrawAspect="Content" ObjectID="_1468075742" r:id="rId3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升压</w:t>
            </w:r>
          </w:p>
        </w:tc>
      </w:tr>
      <w:tr w14:paraId="1D0EE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0ADBE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drawing>
                <wp:inline distT="0" distB="0" distL="114300" distR="114300">
                  <wp:extent cx="933450" cy="1225550"/>
                  <wp:effectExtent l="0" t="0" r="0" b="12700"/>
                  <wp:docPr id="22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C32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双活塞</w:t>
            </w:r>
          </w:p>
        </w:tc>
        <w:tc>
          <w:tcPr>
            <w:tcW w:w="5903" w:type="dxa"/>
            <w:vAlign w:val="center"/>
          </w:tcPr>
          <w:p w14:paraId="451E9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整体：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）+（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）</w:t>
            </w:r>
          </w:p>
          <w:p w14:paraId="2A762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隔离：分析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，有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u w:val="singl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u w:val="single"/>
                <w:vertAlign w:val="subscript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 xml:space="preserve"> </w:t>
            </w:r>
          </w:p>
          <w:p w14:paraId="5B168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630" w:firstLineChars="3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分析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，有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u w:val="single"/>
                <w:vertAlign w:val="subscript"/>
                <w:lang w:val="en-US" w:eastAsia="zh-CN"/>
              </w:rPr>
              <w:t xml:space="preserve">  </w:t>
            </w:r>
          </w:p>
        </w:tc>
      </w:tr>
    </w:tbl>
    <w:p w14:paraId="4A3487BF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C472F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56C58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CB3561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2E01A1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A196E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7" Type="http://schemas.openxmlformats.org/officeDocument/2006/relationships/fontTable" Target="fontTable.xml"/><Relationship Id="rId36" Type="http://schemas.openxmlformats.org/officeDocument/2006/relationships/image" Target="media/image15.png"/><Relationship Id="rId35" Type="http://schemas.openxmlformats.org/officeDocument/2006/relationships/oleObject" Target="embeddings/oleObject18.bin"/><Relationship Id="rId34" Type="http://schemas.openxmlformats.org/officeDocument/2006/relationships/oleObject" Target="embeddings/oleObject17.bin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png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434</Words>
  <Characters>462</Characters>
  <Lines>0</Lines>
  <Paragraphs>0</Paragraphs>
  <TotalTime>0</TotalTime>
  <ScaleCrop>false</ScaleCrop>
  <LinksUpToDate>false</LinksUpToDate>
  <CharactersWithSpaces>540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A6106B4B75364EE8B89D94A9938C0F46_13</vt:lpwstr>
  </property>
</Properties>
</file>